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63" w:rsidRDefault="004E7863">
      <w:pPr>
        <w:jc w:val="both"/>
        <w:rPr>
          <w:rFonts w:ascii="Times New Roman" w:hAnsi="Times New Roman"/>
        </w:rPr>
      </w:pPr>
      <w:permStart w:id="1642406549" w:edGrp="everyone"/>
      <w:permEnd w:id="1642406549"/>
      <w:r>
        <w:rPr>
          <w:rFonts w:ascii="Times New Roman" w:hAnsi="Times New Roman"/>
          <w:b/>
        </w:rPr>
        <w:t xml:space="preserve">1. </w:t>
      </w:r>
      <w:r>
        <w:rPr>
          <w:rFonts w:ascii="Times New Roman" w:hAnsi="Times New Roman"/>
          <w:b/>
          <w:u w:val="single"/>
        </w:rPr>
        <w:t>Purpose:</w:t>
      </w:r>
    </w:p>
    <w:p w:rsidR="004E7863" w:rsidRDefault="004E7863">
      <w:pPr>
        <w:jc w:val="both"/>
        <w:rPr>
          <w:rFonts w:ascii="Times New Roman" w:hAnsi="Times New Roman"/>
        </w:rPr>
      </w:pPr>
      <w:bookmarkStart w:id="0" w:name="_GoBack"/>
      <w:bookmarkEnd w:id="0"/>
    </w:p>
    <w:p w:rsidR="004E7863" w:rsidRDefault="004E7863" w:rsidP="00643A60">
      <w:pPr>
        <w:ind w:left="270"/>
        <w:jc w:val="both"/>
        <w:rPr>
          <w:rFonts w:ascii="Times New Roman" w:hAnsi="Times New Roman"/>
        </w:rPr>
      </w:pPr>
      <w:r>
        <w:rPr>
          <w:rFonts w:ascii="Times New Roman" w:hAnsi="Times New Roman"/>
        </w:rPr>
        <w:t xml:space="preserve">The purpose of this </w:t>
      </w:r>
      <w:r w:rsidR="00E94769">
        <w:rPr>
          <w:rFonts w:ascii="Times New Roman" w:hAnsi="Times New Roman"/>
        </w:rPr>
        <w:t>Work Instruction</w:t>
      </w:r>
      <w:r>
        <w:rPr>
          <w:rFonts w:ascii="Times New Roman" w:hAnsi="Times New Roman"/>
        </w:rPr>
        <w:t xml:space="preserve"> is to ensure that </w:t>
      </w:r>
      <w:r w:rsidR="00BB0D9C">
        <w:rPr>
          <w:rFonts w:ascii="Times New Roman" w:hAnsi="Times New Roman"/>
        </w:rPr>
        <w:t>all</w:t>
      </w:r>
      <w:r w:rsidR="00CC1A12">
        <w:rPr>
          <w:rFonts w:ascii="Times New Roman" w:hAnsi="Times New Roman"/>
        </w:rPr>
        <w:t xml:space="preserve"> approved Turbonetics supplier</w:t>
      </w:r>
      <w:r w:rsidR="00BB0D9C">
        <w:rPr>
          <w:rFonts w:ascii="Times New Roman" w:hAnsi="Times New Roman"/>
        </w:rPr>
        <w:t>s</w:t>
      </w:r>
      <w:r w:rsidR="00CC1A12">
        <w:rPr>
          <w:rFonts w:ascii="Times New Roman" w:hAnsi="Times New Roman"/>
        </w:rPr>
        <w:t xml:space="preserve"> </w:t>
      </w:r>
      <w:r w:rsidR="00BB0D9C">
        <w:rPr>
          <w:rFonts w:ascii="Times New Roman" w:hAnsi="Times New Roman"/>
        </w:rPr>
        <w:t xml:space="preserve">have access and control to properly submit and bring awareness to suspect and </w:t>
      </w:r>
      <w:r w:rsidR="00CC1A12">
        <w:rPr>
          <w:rFonts w:ascii="Times New Roman" w:hAnsi="Times New Roman"/>
        </w:rPr>
        <w:t xml:space="preserve">nonconforming material </w:t>
      </w:r>
      <w:r w:rsidR="00BB0D9C">
        <w:rPr>
          <w:rFonts w:ascii="Times New Roman" w:hAnsi="Times New Roman"/>
        </w:rPr>
        <w:t>to avoid quality issues at time of receiving</w:t>
      </w:r>
      <w:r w:rsidR="00CC1A12">
        <w:rPr>
          <w:rFonts w:ascii="Times New Roman" w:hAnsi="Times New Roman"/>
        </w:rPr>
        <w:t>. This reference (</w:t>
      </w:r>
      <w:r w:rsidR="00BB0D9C">
        <w:rPr>
          <w:rFonts w:ascii="Times New Roman" w:hAnsi="Times New Roman"/>
        </w:rPr>
        <w:t>Work Instruction</w:t>
      </w:r>
      <w:r w:rsidR="00CC1A12">
        <w:rPr>
          <w:rFonts w:ascii="Times New Roman" w:hAnsi="Times New Roman"/>
        </w:rPr>
        <w:t>) will ensure that all nonconformances will be consistent in control, format and presentation.</w:t>
      </w:r>
    </w:p>
    <w:p w:rsidR="005F1BBD" w:rsidRDefault="005F1BBD">
      <w:pPr>
        <w:jc w:val="both"/>
        <w:rPr>
          <w:rFonts w:ascii="Times New Roman" w:hAnsi="Times New Roman"/>
        </w:rPr>
      </w:pPr>
    </w:p>
    <w:p w:rsidR="004E7863" w:rsidRDefault="004E7863">
      <w:pPr>
        <w:jc w:val="both"/>
        <w:rPr>
          <w:rFonts w:ascii="Times New Roman" w:hAnsi="Times New Roman"/>
        </w:rPr>
      </w:pPr>
    </w:p>
    <w:p w:rsidR="004E7863" w:rsidRDefault="004E7863">
      <w:pPr>
        <w:jc w:val="both"/>
        <w:rPr>
          <w:rFonts w:ascii="Times New Roman" w:hAnsi="Times New Roman"/>
        </w:rPr>
      </w:pPr>
      <w:r>
        <w:rPr>
          <w:rFonts w:ascii="Times New Roman" w:hAnsi="Times New Roman"/>
          <w:b/>
        </w:rPr>
        <w:t xml:space="preserve">2. </w:t>
      </w:r>
      <w:r w:rsidR="008D4154">
        <w:rPr>
          <w:rFonts w:ascii="Times New Roman" w:hAnsi="Times New Roman"/>
          <w:b/>
          <w:u w:val="single"/>
        </w:rPr>
        <w:t>Materials or Equipment Required</w:t>
      </w:r>
      <w:r>
        <w:rPr>
          <w:rFonts w:ascii="Times New Roman" w:hAnsi="Times New Roman"/>
          <w:b/>
          <w:u w:val="single"/>
        </w:rPr>
        <w:t>:</w:t>
      </w:r>
    </w:p>
    <w:p w:rsidR="004E7863" w:rsidRDefault="00CC1A12" w:rsidP="00643A60">
      <w:pPr>
        <w:ind w:left="270"/>
        <w:jc w:val="both"/>
        <w:rPr>
          <w:rFonts w:ascii="Times New Roman" w:hAnsi="Times New Roman"/>
        </w:rPr>
      </w:pPr>
      <w:r>
        <w:rPr>
          <w:rFonts w:ascii="Times New Roman" w:hAnsi="Times New Roman"/>
        </w:rPr>
        <w:t>This guide can be used by all approved Turbonetics suppliers.</w:t>
      </w:r>
    </w:p>
    <w:p w:rsidR="004E7863" w:rsidRDefault="004E7863">
      <w:pPr>
        <w:jc w:val="both"/>
        <w:rPr>
          <w:rFonts w:ascii="Times New Roman" w:hAnsi="Times New Roman"/>
          <w:b/>
        </w:rPr>
      </w:pPr>
      <w:r>
        <w:rPr>
          <w:rFonts w:ascii="Times New Roman" w:hAnsi="Times New Roman"/>
          <w:spacing w:val="-3"/>
        </w:rPr>
        <w:t xml:space="preserve"> </w:t>
      </w:r>
    </w:p>
    <w:p w:rsidR="004E7863" w:rsidRDefault="004E7863">
      <w:pPr>
        <w:jc w:val="both"/>
        <w:rPr>
          <w:rFonts w:ascii="Times New Roman" w:hAnsi="Times New Roman"/>
          <w:b/>
          <w:u w:val="single"/>
        </w:rPr>
      </w:pPr>
      <w:r>
        <w:rPr>
          <w:rFonts w:ascii="Times New Roman" w:hAnsi="Times New Roman"/>
          <w:b/>
        </w:rPr>
        <w:t>3.</w:t>
      </w:r>
      <w:r>
        <w:rPr>
          <w:rFonts w:ascii="Times New Roman" w:hAnsi="Times New Roman"/>
        </w:rPr>
        <w:t xml:space="preserve"> </w:t>
      </w:r>
      <w:r>
        <w:rPr>
          <w:rFonts w:ascii="Times New Roman" w:hAnsi="Times New Roman"/>
          <w:b/>
          <w:u w:val="single"/>
        </w:rPr>
        <w:t>Related Procedures and Other Documentation:</w:t>
      </w:r>
    </w:p>
    <w:p w:rsidR="00E94769" w:rsidRDefault="00CC1A12" w:rsidP="00643A60">
      <w:pPr>
        <w:ind w:right="-90" w:firstLine="270"/>
        <w:jc w:val="both"/>
        <w:rPr>
          <w:rFonts w:ascii="Times New Roman" w:hAnsi="Times New Roman"/>
        </w:rPr>
      </w:pPr>
      <w:r>
        <w:rPr>
          <w:rFonts w:ascii="Times New Roman" w:hAnsi="Times New Roman"/>
        </w:rPr>
        <w:t>ISO 9001: 200</w:t>
      </w:r>
      <w:r w:rsidR="001A4841">
        <w:rPr>
          <w:rFonts w:ascii="Times New Roman" w:hAnsi="Times New Roman"/>
        </w:rPr>
        <w:t>8</w:t>
      </w:r>
      <w:r w:rsidR="00555705">
        <w:rPr>
          <w:rFonts w:ascii="Times New Roman" w:hAnsi="Times New Roman"/>
        </w:rPr>
        <w:t xml:space="preserve">                                     Quality Management Systems</w:t>
      </w:r>
    </w:p>
    <w:p w:rsidR="00CC1A12" w:rsidRDefault="00CB6B41" w:rsidP="00643A60">
      <w:pPr>
        <w:ind w:right="-90" w:firstLine="270"/>
        <w:jc w:val="both"/>
        <w:rPr>
          <w:rFonts w:ascii="Times New Roman" w:hAnsi="Times New Roman"/>
        </w:rPr>
      </w:pPr>
      <w:r>
        <w:rPr>
          <w:rFonts w:ascii="Times New Roman" w:hAnsi="Times New Roman"/>
        </w:rPr>
        <w:t>QF-229</w:t>
      </w:r>
      <w:r w:rsidR="00555705">
        <w:rPr>
          <w:rFonts w:ascii="Times New Roman" w:hAnsi="Times New Roman"/>
        </w:rPr>
        <w:t xml:space="preserve">                                             </w:t>
      </w:r>
      <w:r>
        <w:rPr>
          <w:rFonts w:ascii="Times New Roman" w:hAnsi="Times New Roman"/>
        </w:rPr>
        <w:t xml:space="preserve">     </w:t>
      </w:r>
      <w:r w:rsidR="00071279">
        <w:rPr>
          <w:rFonts w:ascii="Times New Roman" w:hAnsi="Times New Roman"/>
        </w:rPr>
        <w:t xml:space="preserve">Supplier </w:t>
      </w:r>
      <w:r w:rsidR="00555705">
        <w:rPr>
          <w:rFonts w:ascii="Times New Roman" w:hAnsi="Times New Roman"/>
        </w:rPr>
        <w:t>Corrective Action</w:t>
      </w:r>
      <w:r>
        <w:rPr>
          <w:rFonts w:ascii="Times New Roman" w:hAnsi="Times New Roman"/>
        </w:rPr>
        <w:t xml:space="preserve"> Form (</w:t>
      </w:r>
      <w:r w:rsidR="00071279">
        <w:rPr>
          <w:rFonts w:ascii="Times New Roman" w:hAnsi="Times New Roman"/>
        </w:rPr>
        <w:t>S</w:t>
      </w:r>
      <w:r>
        <w:rPr>
          <w:rFonts w:ascii="Times New Roman" w:hAnsi="Times New Roman"/>
        </w:rPr>
        <w:t>CAR)</w:t>
      </w:r>
    </w:p>
    <w:p w:rsidR="008D4154" w:rsidRDefault="00CB6B41" w:rsidP="00643A60">
      <w:pPr>
        <w:ind w:right="-90" w:firstLine="270"/>
        <w:jc w:val="both"/>
        <w:rPr>
          <w:rFonts w:ascii="Times New Roman" w:hAnsi="Times New Roman"/>
        </w:rPr>
      </w:pPr>
      <w:r>
        <w:rPr>
          <w:rFonts w:ascii="Times New Roman" w:hAnsi="Times New Roman"/>
        </w:rPr>
        <w:t>QF-241</w:t>
      </w:r>
      <w:r w:rsidR="00555705">
        <w:rPr>
          <w:rFonts w:ascii="Times New Roman" w:hAnsi="Times New Roman"/>
        </w:rPr>
        <w:t xml:space="preserve">                                             </w:t>
      </w:r>
      <w:r>
        <w:rPr>
          <w:rFonts w:ascii="Times New Roman" w:hAnsi="Times New Roman"/>
        </w:rPr>
        <w:t xml:space="preserve">     Non-Conforming Material Report Form (NCMR)</w:t>
      </w:r>
    </w:p>
    <w:p w:rsidR="00CB6B41" w:rsidRDefault="00CB6B41" w:rsidP="00643A60">
      <w:pPr>
        <w:ind w:right="-90" w:firstLine="270"/>
        <w:jc w:val="both"/>
        <w:rPr>
          <w:rFonts w:ascii="Times New Roman" w:hAnsi="Times New Roman"/>
        </w:rPr>
      </w:pPr>
      <w:r>
        <w:rPr>
          <w:rFonts w:ascii="Times New Roman" w:hAnsi="Times New Roman"/>
        </w:rPr>
        <w:t>QF-239                                                  Notification of Delay of Material (NODOM)</w:t>
      </w:r>
    </w:p>
    <w:p w:rsidR="0043626C" w:rsidRDefault="00EC3EAA" w:rsidP="00643A60">
      <w:pPr>
        <w:ind w:right="-90" w:firstLine="270"/>
        <w:jc w:val="both"/>
        <w:rPr>
          <w:rFonts w:ascii="Times New Roman" w:hAnsi="Times New Roman"/>
        </w:rPr>
      </w:pPr>
      <w:r>
        <w:rPr>
          <w:rFonts w:ascii="Times New Roman" w:hAnsi="Times New Roman"/>
        </w:rPr>
        <w:t>QF-249</w:t>
      </w:r>
      <w:r w:rsidR="00CB6B41">
        <w:rPr>
          <w:rFonts w:ascii="Times New Roman" w:hAnsi="Times New Roman"/>
        </w:rPr>
        <w:t xml:space="preserve">                </w:t>
      </w:r>
      <w:r w:rsidR="00555705">
        <w:rPr>
          <w:rFonts w:ascii="Times New Roman" w:hAnsi="Times New Roman"/>
        </w:rPr>
        <w:t xml:space="preserve">                      </w:t>
      </w:r>
      <w:r w:rsidR="00AA3FB6">
        <w:rPr>
          <w:rFonts w:ascii="Times New Roman" w:hAnsi="Times New Roman"/>
        </w:rPr>
        <w:t xml:space="preserve">            Supplier</w:t>
      </w:r>
      <w:r w:rsidR="00555705">
        <w:rPr>
          <w:rFonts w:ascii="Times New Roman" w:hAnsi="Times New Roman"/>
        </w:rPr>
        <w:t xml:space="preserve"> </w:t>
      </w:r>
      <w:r w:rsidR="00643A60">
        <w:rPr>
          <w:rFonts w:ascii="Times New Roman" w:hAnsi="Times New Roman"/>
        </w:rPr>
        <w:t>Deviation Request</w:t>
      </w:r>
      <w:r w:rsidR="00CB6B41">
        <w:rPr>
          <w:rFonts w:ascii="Times New Roman" w:hAnsi="Times New Roman"/>
        </w:rPr>
        <w:t xml:space="preserve"> </w:t>
      </w:r>
    </w:p>
    <w:p w:rsidR="0043626C" w:rsidRDefault="0043626C" w:rsidP="00E94769">
      <w:pPr>
        <w:ind w:right="-90"/>
        <w:jc w:val="both"/>
        <w:rPr>
          <w:rFonts w:ascii="Times New Roman" w:hAnsi="Times New Roman"/>
        </w:rPr>
      </w:pPr>
    </w:p>
    <w:p w:rsidR="0043626C" w:rsidRDefault="0043626C" w:rsidP="0043626C">
      <w:pPr>
        <w:jc w:val="both"/>
        <w:rPr>
          <w:rFonts w:ascii="Times New Roman" w:hAnsi="Times New Roman"/>
          <w:b/>
          <w:u w:val="single"/>
        </w:rPr>
      </w:pPr>
      <w:r>
        <w:rPr>
          <w:rFonts w:ascii="Times New Roman" w:hAnsi="Times New Roman"/>
          <w:b/>
        </w:rPr>
        <w:t xml:space="preserve">4. </w:t>
      </w:r>
      <w:r w:rsidRPr="0043626C">
        <w:rPr>
          <w:rFonts w:ascii="Times New Roman" w:hAnsi="Times New Roman"/>
          <w:b/>
          <w:u w:val="single"/>
        </w:rPr>
        <w:t>Authorized Personnel and/or Amount of Training Required:</w:t>
      </w:r>
    </w:p>
    <w:p w:rsidR="00556995" w:rsidRDefault="00555705" w:rsidP="00556995">
      <w:pPr>
        <w:ind w:left="630" w:right="-90" w:hanging="360"/>
        <w:rPr>
          <w:rFonts w:ascii="Times New Roman" w:hAnsi="Times New Roman"/>
          <w:b/>
        </w:rPr>
      </w:pPr>
      <w:r>
        <w:rPr>
          <w:rFonts w:ascii="Times New Roman" w:hAnsi="Times New Roman"/>
        </w:rPr>
        <w:t xml:space="preserve">4.1 Supplier’s </w:t>
      </w:r>
      <w:smartTag w:uri="urn:schemas-microsoft-com:office:smarttags" w:element="PersonName">
        <w:r>
          <w:rPr>
            <w:rFonts w:ascii="Times New Roman" w:hAnsi="Times New Roman"/>
          </w:rPr>
          <w:t>Quality</w:t>
        </w:r>
      </w:smartTag>
      <w:r>
        <w:rPr>
          <w:rFonts w:ascii="Times New Roman" w:hAnsi="Times New Roman"/>
        </w:rPr>
        <w:t xml:space="preserve"> Assurance representative is responsible for initiating and submitting the SDR (</w:t>
      </w:r>
      <w:r w:rsidR="00CB6B41">
        <w:rPr>
          <w:rFonts w:ascii="Times New Roman" w:hAnsi="Times New Roman"/>
        </w:rPr>
        <w:t>S</w:t>
      </w:r>
      <w:r>
        <w:rPr>
          <w:rFonts w:ascii="Times New Roman" w:hAnsi="Times New Roman"/>
        </w:rPr>
        <w:t xml:space="preserve">upplier </w:t>
      </w:r>
      <w:r w:rsidR="008F3BC5">
        <w:rPr>
          <w:rFonts w:ascii="Times New Roman" w:hAnsi="Times New Roman"/>
        </w:rPr>
        <w:t>Deviation</w:t>
      </w:r>
      <w:r>
        <w:rPr>
          <w:rFonts w:ascii="Times New Roman" w:hAnsi="Times New Roman"/>
        </w:rPr>
        <w:t xml:space="preserve"> Request) on all nonconforming material upon occurrence (prior to shipping). </w:t>
      </w:r>
      <w:r w:rsidR="008F3BC5">
        <w:rPr>
          <w:rFonts w:ascii="Times New Roman" w:hAnsi="Times New Roman"/>
        </w:rPr>
        <w:t>This form can be found on the Turbonetics Web Site</w:t>
      </w:r>
      <w:r w:rsidR="00146588">
        <w:rPr>
          <w:rFonts w:ascii="Times New Roman" w:hAnsi="Times New Roman"/>
        </w:rPr>
        <w:t>, or may be requested from the Turbonetics Purchasing Department directly.</w:t>
      </w:r>
    </w:p>
    <w:p w:rsidR="00556995" w:rsidRPr="00B5684F" w:rsidRDefault="00B5684F" w:rsidP="00556995">
      <w:pPr>
        <w:ind w:left="630" w:right="-90" w:hanging="360"/>
        <w:rPr>
          <w:rFonts w:ascii="Times New Roman" w:hAnsi="Times New Roman"/>
        </w:rPr>
      </w:pPr>
      <w:r>
        <w:rPr>
          <w:rFonts w:ascii="Times New Roman" w:hAnsi="Times New Roman"/>
        </w:rPr>
        <w:t xml:space="preserve">      </w:t>
      </w:r>
      <w:r w:rsidR="00556995" w:rsidRPr="00B5684F">
        <w:rPr>
          <w:rFonts w:ascii="Times New Roman" w:hAnsi="Times New Roman"/>
        </w:rPr>
        <w:t xml:space="preserve">Supplier to fill out fields </w:t>
      </w:r>
      <w:r>
        <w:rPr>
          <w:rFonts w:ascii="Times New Roman" w:hAnsi="Times New Roman"/>
        </w:rPr>
        <w:t>1 thru 15 then email or fax to Turbonetics purchasing agent.</w:t>
      </w:r>
    </w:p>
    <w:p w:rsidR="000F1FB0" w:rsidRDefault="000F1FB0" w:rsidP="00E94769">
      <w:pPr>
        <w:ind w:right="-90"/>
        <w:jc w:val="both"/>
        <w:rPr>
          <w:rFonts w:ascii="Times New Roman" w:hAnsi="Times New Roman"/>
        </w:rPr>
      </w:pPr>
    </w:p>
    <w:p w:rsidR="000F1FB0" w:rsidRDefault="000F1FB0" w:rsidP="008F3BC5">
      <w:pPr>
        <w:ind w:left="720" w:right="-90" w:hanging="450"/>
        <w:jc w:val="both"/>
        <w:rPr>
          <w:rFonts w:ascii="Times New Roman" w:hAnsi="Times New Roman"/>
        </w:rPr>
      </w:pPr>
      <w:r w:rsidRPr="00783086">
        <w:rPr>
          <w:rFonts w:ascii="Times New Roman" w:hAnsi="Times New Roman"/>
          <w:highlight w:val="yellow"/>
        </w:rPr>
        <w:t>4.2</w:t>
      </w:r>
      <w:r w:rsidR="008F3BC5" w:rsidRPr="00783086">
        <w:rPr>
          <w:rFonts w:ascii="Times New Roman" w:hAnsi="Times New Roman"/>
          <w:highlight w:val="yellow"/>
        </w:rPr>
        <w:t xml:space="preserve"> </w:t>
      </w:r>
      <w:r w:rsidRPr="00783086">
        <w:rPr>
          <w:rFonts w:ascii="Times New Roman" w:hAnsi="Times New Roman"/>
          <w:highlight w:val="yellow"/>
        </w:rPr>
        <w:t xml:space="preserve">Turbonetics </w:t>
      </w:r>
      <w:r w:rsidR="00B5684F" w:rsidRPr="00783086">
        <w:rPr>
          <w:rFonts w:ascii="Times New Roman" w:hAnsi="Times New Roman"/>
          <w:highlight w:val="yellow"/>
        </w:rPr>
        <w:t xml:space="preserve">Purchasing agent / Buyer </w:t>
      </w:r>
      <w:r w:rsidR="00146588" w:rsidRPr="00783086">
        <w:rPr>
          <w:rFonts w:ascii="Times New Roman" w:hAnsi="Times New Roman"/>
          <w:highlight w:val="yellow"/>
        </w:rPr>
        <w:t>brings the document to Engineering, where the document is reviewed and signed by the Engineer</w:t>
      </w:r>
      <w:r w:rsidR="00BD5311" w:rsidRPr="00783086">
        <w:rPr>
          <w:rFonts w:ascii="Times New Roman" w:hAnsi="Times New Roman"/>
          <w:highlight w:val="yellow"/>
        </w:rPr>
        <w:t>.</w:t>
      </w:r>
      <w:r w:rsidR="00146588" w:rsidRPr="00783086">
        <w:rPr>
          <w:rFonts w:ascii="Times New Roman" w:hAnsi="Times New Roman"/>
          <w:highlight w:val="yellow"/>
        </w:rPr>
        <w:t xml:space="preserve">  The Engineer will decide if the deviation request is approved or denied, and notate this in the appropriate section on the SDR form.</w:t>
      </w:r>
    </w:p>
    <w:p w:rsidR="00BD5311" w:rsidRDefault="00BD5311" w:rsidP="008F3BC5">
      <w:pPr>
        <w:ind w:left="720" w:right="-90" w:hanging="450"/>
        <w:jc w:val="both"/>
        <w:rPr>
          <w:rFonts w:ascii="Times New Roman" w:hAnsi="Times New Roman"/>
        </w:rPr>
      </w:pPr>
    </w:p>
    <w:p w:rsidR="00BD5311" w:rsidRPr="00783086" w:rsidRDefault="00783086" w:rsidP="00BD5311">
      <w:pPr>
        <w:numPr>
          <w:ilvl w:val="1"/>
          <w:numId w:val="3"/>
        </w:numPr>
        <w:ind w:right="-90"/>
        <w:jc w:val="both"/>
        <w:rPr>
          <w:rFonts w:ascii="Times New Roman" w:hAnsi="Times New Roman"/>
          <w:highlight w:val="yellow"/>
        </w:rPr>
      </w:pPr>
      <w:r>
        <w:rPr>
          <w:rFonts w:ascii="Times New Roman" w:hAnsi="Times New Roman"/>
          <w:highlight w:val="yellow"/>
        </w:rPr>
        <w:t xml:space="preserve">After </w:t>
      </w:r>
      <w:proofErr w:type="gramStart"/>
      <w:r w:rsidR="00146588" w:rsidRPr="00783086">
        <w:rPr>
          <w:rFonts w:ascii="Times New Roman" w:hAnsi="Times New Roman"/>
          <w:highlight w:val="yellow"/>
        </w:rPr>
        <w:t>Engineering</w:t>
      </w:r>
      <w:proofErr w:type="gramEnd"/>
      <w:r w:rsidR="00146588" w:rsidRPr="00783086">
        <w:rPr>
          <w:rFonts w:ascii="Times New Roman" w:hAnsi="Times New Roman"/>
          <w:highlight w:val="yellow"/>
        </w:rPr>
        <w:t xml:space="preserve"> dispositions the SDR, Purchasing will bring the document to the QA Supervisor</w:t>
      </w:r>
      <w:r w:rsidR="00B56591" w:rsidRPr="00783086">
        <w:rPr>
          <w:rFonts w:ascii="Times New Roman" w:hAnsi="Times New Roman"/>
          <w:highlight w:val="yellow"/>
        </w:rPr>
        <w:t xml:space="preserve"> for another review and approval signature</w:t>
      </w:r>
      <w:r w:rsidR="00BD5311" w:rsidRPr="00783086">
        <w:rPr>
          <w:rFonts w:ascii="Times New Roman" w:hAnsi="Times New Roman"/>
          <w:highlight w:val="yellow"/>
        </w:rPr>
        <w:t xml:space="preserve">. </w:t>
      </w:r>
    </w:p>
    <w:p w:rsidR="00BD5311" w:rsidRDefault="00BD5311" w:rsidP="00851861">
      <w:pPr>
        <w:ind w:left="270" w:right="-90"/>
        <w:jc w:val="both"/>
        <w:rPr>
          <w:rFonts w:ascii="Times New Roman" w:hAnsi="Times New Roman"/>
        </w:rPr>
      </w:pPr>
    </w:p>
    <w:p w:rsidR="008D4154" w:rsidRDefault="008D4154" w:rsidP="00E94769">
      <w:pPr>
        <w:ind w:right="-90"/>
        <w:jc w:val="both"/>
        <w:rPr>
          <w:rFonts w:ascii="Times New Roman" w:hAnsi="Times New Roman"/>
        </w:rPr>
        <w:sectPr w:rsidR="008D415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80" w:right="1440" w:bottom="1080" w:left="1440" w:header="1080" w:footer="720" w:gutter="0"/>
          <w:cols w:space="720"/>
          <w:noEndnote/>
        </w:sectPr>
      </w:pPr>
    </w:p>
    <w:p w:rsidR="0043626C" w:rsidRPr="00783086" w:rsidRDefault="00B56591" w:rsidP="00851861">
      <w:pPr>
        <w:numPr>
          <w:ilvl w:val="1"/>
          <w:numId w:val="3"/>
        </w:numPr>
        <w:jc w:val="both"/>
        <w:rPr>
          <w:rFonts w:ascii="Times New Roman" w:hAnsi="Times New Roman"/>
          <w:highlight w:val="yellow"/>
        </w:rPr>
      </w:pPr>
      <w:r w:rsidRPr="00783086">
        <w:rPr>
          <w:rFonts w:ascii="Times New Roman" w:hAnsi="Times New Roman"/>
          <w:highlight w:val="yellow"/>
        </w:rPr>
        <w:lastRenderedPageBreak/>
        <w:t>After receiving both Engineering and QA signatures, Purchasing will then bring the document to the Document Control Specialist, where it will be assigned a unique SDR number</w:t>
      </w:r>
      <w:r w:rsidR="00851861" w:rsidRPr="00783086">
        <w:rPr>
          <w:rFonts w:ascii="Times New Roman" w:hAnsi="Times New Roman"/>
          <w:highlight w:val="yellow"/>
        </w:rPr>
        <w:t>.</w:t>
      </w:r>
      <w:r w:rsidRPr="00783086">
        <w:rPr>
          <w:rFonts w:ascii="Times New Roman" w:hAnsi="Times New Roman"/>
          <w:highlight w:val="yellow"/>
        </w:rPr>
        <w:t xml:space="preserve">  The original document is then kept in the Document Control office, and a copy is provided to Purchasing to forward to the supplier.</w:t>
      </w:r>
      <w:r w:rsidR="00851861" w:rsidRPr="00783086">
        <w:rPr>
          <w:rFonts w:ascii="Times New Roman" w:hAnsi="Times New Roman"/>
          <w:highlight w:val="yellow"/>
        </w:rPr>
        <w:t xml:space="preserve"> </w:t>
      </w:r>
    </w:p>
    <w:p w:rsidR="00851861" w:rsidRDefault="00851861" w:rsidP="00851861">
      <w:pPr>
        <w:jc w:val="both"/>
        <w:rPr>
          <w:rFonts w:ascii="Times New Roman" w:hAnsi="Times New Roman"/>
        </w:rPr>
      </w:pPr>
    </w:p>
    <w:p w:rsidR="00851861" w:rsidRPr="00783086" w:rsidRDefault="00B56591" w:rsidP="00851861">
      <w:pPr>
        <w:numPr>
          <w:ilvl w:val="1"/>
          <w:numId w:val="3"/>
        </w:numPr>
        <w:jc w:val="both"/>
        <w:rPr>
          <w:rFonts w:ascii="Times New Roman" w:hAnsi="Times New Roman"/>
          <w:highlight w:val="yellow"/>
        </w:rPr>
      </w:pPr>
      <w:r w:rsidRPr="00783086">
        <w:rPr>
          <w:rFonts w:ascii="Times New Roman" w:hAnsi="Times New Roman"/>
          <w:highlight w:val="yellow"/>
        </w:rPr>
        <w:t xml:space="preserve">Purchasing </w:t>
      </w:r>
      <w:r w:rsidR="00851861" w:rsidRPr="00783086">
        <w:rPr>
          <w:rFonts w:ascii="Times New Roman" w:hAnsi="Times New Roman"/>
          <w:highlight w:val="yellow"/>
        </w:rPr>
        <w:t>forward</w:t>
      </w:r>
      <w:r w:rsidRPr="00783086">
        <w:rPr>
          <w:rFonts w:ascii="Times New Roman" w:hAnsi="Times New Roman"/>
          <w:highlight w:val="yellow"/>
        </w:rPr>
        <w:t>s a PDF copy of the SDR to the</w:t>
      </w:r>
      <w:r w:rsidR="00851861" w:rsidRPr="00783086">
        <w:rPr>
          <w:rFonts w:ascii="Times New Roman" w:hAnsi="Times New Roman"/>
          <w:highlight w:val="yellow"/>
        </w:rPr>
        <w:t xml:space="preserve"> supplier. If </w:t>
      </w:r>
      <w:r w:rsidRPr="00783086">
        <w:rPr>
          <w:rFonts w:ascii="Times New Roman" w:hAnsi="Times New Roman"/>
          <w:highlight w:val="yellow"/>
        </w:rPr>
        <w:t>the disposition was “Use as i</w:t>
      </w:r>
      <w:r w:rsidR="00851861" w:rsidRPr="00783086">
        <w:rPr>
          <w:rFonts w:ascii="Times New Roman" w:hAnsi="Times New Roman"/>
          <w:highlight w:val="yellow"/>
        </w:rPr>
        <w:t xml:space="preserve">s / </w:t>
      </w:r>
      <w:r w:rsidR="00822889" w:rsidRPr="00783086">
        <w:rPr>
          <w:rFonts w:ascii="Times New Roman" w:hAnsi="Times New Roman"/>
          <w:highlight w:val="yellow"/>
        </w:rPr>
        <w:t>Accepted</w:t>
      </w:r>
      <w:r w:rsidR="00851861" w:rsidRPr="00783086">
        <w:rPr>
          <w:rFonts w:ascii="Times New Roman" w:hAnsi="Times New Roman"/>
          <w:highlight w:val="yellow"/>
        </w:rPr>
        <w:t xml:space="preserve">”, Supplier must </w:t>
      </w:r>
      <w:r w:rsidRPr="00783086">
        <w:rPr>
          <w:rFonts w:ascii="Times New Roman" w:hAnsi="Times New Roman"/>
          <w:highlight w:val="yellow"/>
        </w:rPr>
        <w:t>include</w:t>
      </w:r>
      <w:r w:rsidR="00851861" w:rsidRPr="00783086">
        <w:rPr>
          <w:rFonts w:ascii="Times New Roman" w:hAnsi="Times New Roman"/>
          <w:highlight w:val="yellow"/>
        </w:rPr>
        <w:t xml:space="preserve"> a copy of the SDR with each affected shipment</w:t>
      </w:r>
      <w:r w:rsidRPr="00783086">
        <w:rPr>
          <w:rFonts w:ascii="Times New Roman" w:hAnsi="Times New Roman"/>
          <w:highlight w:val="yellow"/>
        </w:rPr>
        <w:t>.  If the supplier fails to include a copy of the SDR itself, with all required signatures and an SDR number assigned by the Turbonetics Document Control department, with any affected shipment, the SDR will be considered to be “invalid” for that shipment and will not be taken into account during the QA inspection process.</w:t>
      </w:r>
    </w:p>
    <w:p w:rsidR="00851861" w:rsidRPr="00851861" w:rsidRDefault="00851861" w:rsidP="00851861">
      <w:pPr>
        <w:jc w:val="both"/>
        <w:rPr>
          <w:rFonts w:ascii="Times New Roman" w:hAnsi="Times New Roman"/>
        </w:rPr>
      </w:pPr>
    </w:p>
    <w:p w:rsidR="00851861" w:rsidRDefault="00851861" w:rsidP="00851861">
      <w:pPr>
        <w:numPr>
          <w:ilvl w:val="1"/>
          <w:numId w:val="3"/>
        </w:numPr>
        <w:jc w:val="both"/>
        <w:rPr>
          <w:rFonts w:ascii="Times New Roman" w:hAnsi="Times New Roman"/>
        </w:rPr>
      </w:pPr>
      <w:r w:rsidRPr="00851861">
        <w:rPr>
          <w:rFonts w:ascii="Times New Roman" w:hAnsi="Times New Roman"/>
        </w:rPr>
        <w:t>The supplier cannot ship the discrepant material until receiving written approval.</w:t>
      </w:r>
    </w:p>
    <w:p w:rsidR="00C40E65" w:rsidRDefault="00C40E65" w:rsidP="00C40E65">
      <w:pPr>
        <w:jc w:val="both"/>
        <w:rPr>
          <w:rFonts w:ascii="Times New Roman" w:hAnsi="Times New Roman"/>
        </w:rPr>
      </w:pPr>
    </w:p>
    <w:p w:rsidR="00C40E65" w:rsidRPr="00851861" w:rsidRDefault="00C40E65" w:rsidP="00851861">
      <w:pPr>
        <w:numPr>
          <w:ilvl w:val="1"/>
          <w:numId w:val="3"/>
        </w:numPr>
        <w:jc w:val="both"/>
        <w:rPr>
          <w:rFonts w:ascii="Times New Roman" w:hAnsi="Times New Roman"/>
        </w:rPr>
      </w:pPr>
      <w:r>
        <w:rPr>
          <w:rFonts w:ascii="Times New Roman" w:hAnsi="Times New Roman"/>
        </w:rPr>
        <w:t>All hardware received that is</w:t>
      </w:r>
      <w:r w:rsidR="00E5715A">
        <w:rPr>
          <w:rFonts w:ascii="Times New Roman" w:hAnsi="Times New Roman"/>
        </w:rPr>
        <w:t xml:space="preserve"> discrepant without a SDR </w:t>
      </w:r>
      <w:r w:rsidR="00B56591">
        <w:rPr>
          <w:rFonts w:ascii="Times New Roman" w:hAnsi="Times New Roman"/>
        </w:rPr>
        <w:t xml:space="preserve">will be written up on an NCMR, and </w:t>
      </w:r>
      <w:r w:rsidR="00E5715A">
        <w:rPr>
          <w:rFonts w:ascii="Times New Roman" w:hAnsi="Times New Roman"/>
        </w:rPr>
        <w:t>may be issued a Supplier Corrective Action Request (S</w:t>
      </w:r>
      <w:r w:rsidR="006A372C">
        <w:rPr>
          <w:rFonts w:ascii="Times New Roman" w:hAnsi="Times New Roman"/>
        </w:rPr>
        <w:t>C</w:t>
      </w:r>
      <w:r w:rsidR="00E5715A">
        <w:rPr>
          <w:rFonts w:ascii="Times New Roman" w:hAnsi="Times New Roman"/>
        </w:rPr>
        <w:t>AR)</w:t>
      </w:r>
      <w:r w:rsidR="00B56591">
        <w:rPr>
          <w:rFonts w:ascii="Times New Roman" w:hAnsi="Times New Roman"/>
        </w:rPr>
        <w:t>, at the discretion of the Quality Supervisor</w:t>
      </w:r>
      <w:r w:rsidR="00E5715A">
        <w:rPr>
          <w:rFonts w:ascii="Times New Roman" w:hAnsi="Times New Roman"/>
        </w:rPr>
        <w:t>.</w:t>
      </w:r>
    </w:p>
    <w:p w:rsidR="0043626C" w:rsidRDefault="0043626C" w:rsidP="0043626C">
      <w:pPr>
        <w:jc w:val="both"/>
        <w:rPr>
          <w:rFonts w:ascii="Times New Roman" w:hAnsi="Times New Roman"/>
          <w:b/>
        </w:rPr>
      </w:pPr>
    </w:p>
    <w:p w:rsidR="0043626C" w:rsidRDefault="0043626C" w:rsidP="0043626C">
      <w:pPr>
        <w:jc w:val="both"/>
        <w:rPr>
          <w:rFonts w:ascii="Times New Roman" w:hAnsi="Times New Roman"/>
          <w:b/>
          <w:u w:val="single"/>
        </w:rPr>
      </w:pPr>
    </w:p>
    <w:p w:rsidR="0043626C" w:rsidRDefault="0043626C" w:rsidP="0043626C">
      <w:pPr>
        <w:jc w:val="both"/>
        <w:rPr>
          <w:rFonts w:ascii="Times New Roman" w:hAnsi="Times New Roman"/>
          <w:b/>
          <w:u w:val="single"/>
        </w:rPr>
      </w:pPr>
    </w:p>
    <w:p w:rsidR="0043626C" w:rsidRDefault="0043626C" w:rsidP="0043626C">
      <w:pPr>
        <w:jc w:val="both"/>
        <w:rPr>
          <w:rFonts w:ascii="Times New Roman" w:hAnsi="Times New Roman"/>
          <w:b/>
          <w:u w:val="single"/>
        </w:rPr>
      </w:pPr>
    </w:p>
    <w:p w:rsidR="0043626C" w:rsidRDefault="0043626C" w:rsidP="0043626C">
      <w:pPr>
        <w:jc w:val="both"/>
        <w:rPr>
          <w:rFonts w:ascii="Times New Roman" w:hAnsi="Times New Roman"/>
          <w:b/>
          <w:u w:val="single"/>
        </w:rPr>
      </w:pPr>
    </w:p>
    <w:p w:rsidR="004E7863" w:rsidRDefault="004E7863" w:rsidP="0043626C">
      <w:pPr>
        <w:spacing w:line="288" w:lineRule="exact"/>
        <w:ind w:left="720" w:hanging="720"/>
      </w:pPr>
    </w:p>
    <w:sectPr w:rsidR="004E786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1440" w:bottom="108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C2" w:rsidRDefault="00C763C2">
      <w:r>
        <w:separator/>
      </w:r>
    </w:p>
  </w:endnote>
  <w:endnote w:type="continuationSeparator" w:id="0">
    <w:p w:rsidR="00C763C2" w:rsidRDefault="00C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cal Point On-Line">
    <w:panose1 w:val="00000000000000000000"/>
    <w:charset w:val="00"/>
    <w:family w:val="moder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A" w:rsidRDefault="004E0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88" w:rsidRPr="007457BE" w:rsidRDefault="00146588" w:rsidP="00604C65">
    <w:pPr>
      <w:pStyle w:val="Header"/>
      <w:jc w:val="center"/>
      <w:rPr>
        <w:rFonts w:ascii="Arial" w:hAnsi="Arial" w:cs="Arial"/>
        <w:sz w:val="18"/>
        <w:szCs w:val="18"/>
      </w:rPr>
    </w:pPr>
    <w:r>
      <w:rPr>
        <w:rFonts w:ascii="CG Times" w:hAnsi="CG Times"/>
        <w:sz w:val="18"/>
      </w:rPr>
      <w:t>.</w:t>
    </w:r>
    <w:r w:rsidRPr="00604C65">
      <w:rPr>
        <w:rFonts w:ascii="Arial" w:hAnsi="Arial" w:cs="Arial"/>
        <w:sz w:val="18"/>
        <w:szCs w:val="18"/>
      </w:rPr>
      <w:t xml:space="preserve"> </w:t>
    </w:r>
    <w:r w:rsidRPr="007457BE">
      <w:rPr>
        <w:rFonts w:ascii="Arial" w:hAnsi="Arial" w:cs="Arial"/>
        <w:sz w:val="18"/>
        <w:szCs w:val="18"/>
      </w:rPr>
      <w:t>Document is Uncontrolled If Printed, Unless “Controlled Document” Stamp is Present on First Page</w:t>
    </w:r>
  </w:p>
  <w:p w:rsidR="00146588" w:rsidRDefault="00146588" w:rsidP="00604C65">
    <w:pPr>
      <w:spacing w:line="240" w:lineRule="exac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A" w:rsidRDefault="004E08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88" w:rsidRDefault="001465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88" w:rsidRPr="007457BE" w:rsidRDefault="00146588" w:rsidP="00604C65">
    <w:pPr>
      <w:pStyle w:val="Header"/>
      <w:jc w:val="center"/>
      <w:rPr>
        <w:rFonts w:ascii="Arial" w:hAnsi="Arial" w:cs="Arial"/>
        <w:sz w:val="18"/>
        <w:szCs w:val="18"/>
      </w:rPr>
    </w:pPr>
    <w:r w:rsidRPr="007457BE">
      <w:rPr>
        <w:rFonts w:ascii="Arial" w:hAnsi="Arial" w:cs="Arial"/>
        <w:sz w:val="18"/>
        <w:szCs w:val="18"/>
      </w:rPr>
      <w:t>Document is Uncontrolled If Printed, Unless “Controlled Document” Stamp is Present on First Page</w:t>
    </w:r>
  </w:p>
  <w:p w:rsidR="00146588" w:rsidRDefault="001465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88" w:rsidRDefault="0014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C2" w:rsidRDefault="00C763C2">
      <w:r>
        <w:separator/>
      </w:r>
    </w:p>
  </w:footnote>
  <w:footnote w:type="continuationSeparator" w:id="0">
    <w:p w:rsidR="00C763C2" w:rsidRDefault="00C7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A" w:rsidRDefault="004E0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246" w:type="dxa"/>
        <w:right w:w="246" w:type="dxa"/>
      </w:tblCellMar>
      <w:tblLook w:val="0000" w:firstRow="0" w:lastRow="0" w:firstColumn="0" w:lastColumn="0" w:noHBand="0" w:noVBand="0"/>
    </w:tblPr>
    <w:tblGrid>
      <w:gridCol w:w="6030"/>
      <w:gridCol w:w="3329"/>
    </w:tblGrid>
    <w:tr w:rsidR="00146588">
      <w:trPr>
        <w:trHeight w:val="1084"/>
        <w:jc w:val="center"/>
      </w:trPr>
      <w:tc>
        <w:tcPr>
          <w:tcW w:w="6030" w:type="dxa"/>
          <w:tcBorders>
            <w:top w:val="single" w:sz="6" w:space="0" w:color="FFFFFF"/>
            <w:left w:val="single" w:sz="6" w:space="0" w:color="FFFFFF"/>
            <w:bottom w:val="single" w:sz="6" w:space="0" w:color="FFFFFF"/>
            <w:right w:val="single" w:sz="6" w:space="0" w:color="000000"/>
          </w:tcBorders>
        </w:tcPr>
        <w:p w:rsidR="00146588" w:rsidRDefault="00146588" w:rsidP="005F1BBD">
          <w:pPr>
            <w:tabs>
              <w:tab w:val="center" w:pos="2713"/>
            </w:tabs>
            <w:spacing w:after="109"/>
            <w:ind w:left="5094" w:hanging="5094"/>
            <w:jc w:val="center"/>
            <w:rPr>
              <w:rFonts w:ascii="Arial" w:hAnsi="Arial" w:cs="Arial"/>
              <w:b/>
              <w:bCs/>
              <w:i/>
              <w:iCs/>
            </w:rPr>
          </w:pPr>
          <w:r>
            <w:rPr>
              <w:noProof/>
            </w:rPr>
            <w:drawing>
              <wp:anchor distT="0" distB="0" distL="114300" distR="114300" simplePos="0" relativeHeight="251657728" behindDoc="1" locked="0" layoutInCell="1" allowOverlap="1">
                <wp:simplePos x="0" y="0"/>
                <wp:positionH relativeFrom="column">
                  <wp:posOffset>252730</wp:posOffset>
                </wp:positionH>
                <wp:positionV relativeFrom="paragraph">
                  <wp:posOffset>1270</wp:posOffset>
                </wp:positionV>
                <wp:extent cx="2808605" cy="774065"/>
                <wp:effectExtent l="0" t="0" r="0" b="6985"/>
                <wp:wrapTight wrapText="bothSides">
                  <wp:wrapPolygon edited="0">
                    <wp:start x="2784" y="0"/>
                    <wp:lineTo x="1319" y="3721"/>
                    <wp:lineTo x="0" y="7974"/>
                    <wp:lineTo x="0" y="14353"/>
                    <wp:lineTo x="293" y="17011"/>
                    <wp:lineTo x="1465" y="21263"/>
                    <wp:lineTo x="1612" y="21263"/>
                    <wp:lineTo x="3370" y="21263"/>
                    <wp:lineTo x="17141" y="19669"/>
                    <wp:lineTo x="17141" y="17011"/>
                    <wp:lineTo x="19925" y="8505"/>
                    <wp:lineTo x="20218" y="4784"/>
                    <wp:lineTo x="15823" y="2658"/>
                    <wp:lineTo x="3663" y="0"/>
                    <wp:lineTo x="278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605"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9" w:type="dxa"/>
          <w:tcBorders>
            <w:top w:val="single" w:sz="36" w:space="0" w:color="000000"/>
            <w:left w:val="single" w:sz="36" w:space="0" w:color="000000"/>
            <w:bottom w:val="single" w:sz="6" w:space="0" w:color="000000"/>
            <w:right w:val="single" w:sz="36" w:space="0" w:color="000000"/>
          </w:tcBorders>
        </w:tcPr>
        <w:p w:rsidR="00146588" w:rsidRPr="00AA2C97" w:rsidRDefault="00146588">
          <w:pPr>
            <w:rPr>
              <w:rFonts w:ascii="Arial" w:hAnsi="Arial" w:cs="Arial"/>
              <w:sz w:val="20"/>
            </w:rPr>
          </w:pPr>
          <w:r w:rsidRPr="00AA2C97">
            <w:rPr>
              <w:rFonts w:ascii="Arial" w:hAnsi="Arial" w:cs="Arial"/>
              <w:sz w:val="20"/>
            </w:rPr>
            <w:t>WI Number</w:t>
          </w:r>
        </w:p>
        <w:p w:rsidR="00146588" w:rsidRDefault="00146588" w:rsidP="0067774A">
          <w:pPr>
            <w:spacing w:after="109"/>
            <w:rPr>
              <w:rFonts w:ascii="Arial" w:hAnsi="Arial" w:cs="Arial"/>
            </w:rPr>
          </w:pPr>
          <w:r>
            <w:rPr>
              <w:rFonts w:ascii="Arial" w:hAnsi="Arial" w:cs="Arial"/>
            </w:rPr>
            <w:t xml:space="preserve">                  </w:t>
          </w:r>
        </w:p>
        <w:p w:rsidR="00146588" w:rsidRPr="005F1BBD" w:rsidRDefault="00146588" w:rsidP="00AA2C97">
          <w:pPr>
            <w:spacing w:after="109"/>
            <w:jc w:val="center"/>
            <w:rPr>
              <w:rFonts w:ascii="Arial" w:hAnsi="Arial" w:cs="Arial"/>
            </w:rPr>
          </w:pPr>
          <w:r>
            <w:rPr>
              <w:rFonts w:ascii="Arial" w:hAnsi="Arial" w:cs="Arial"/>
            </w:rPr>
            <w:t>QWI 109</w:t>
          </w:r>
        </w:p>
      </w:tc>
    </w:tr>
    <w:tr w:rsidR="00146588">
      <w:trPr>
        <w:jc w:val="center"/>
      </w:trPr>
      <w:tc>
        <w:tcPr>
          <w:tcW w:w="6030" w:type="dxa"/>
          <w:tcBorders>
            <w:top w:val="single" w:sz="6" w:space="0" w:color="FFFFFF"/>
            <w:left w:val="single" w:sz="6" w:space="0" w:color="FFFFFF"/>
            <w:bottom w:val="single" w:sz="6" w:space="0" w:color="FFFFFF"/>
            <w:right w:val="single" w:sz="6" w:space="0" w:color="000000"/>
          </w:tcBorders>
        </w:tcPr>
        <w:p w:rsidR="00146588" w:rsidRDefault="00146588">
          <w:pPr>
            <w:spacing w:line="182" w:lineRule="exact"/>
            <w:rPr>
              <w:rFonts w:ascii="CG Times" w:hAnsi="CG Times"/>
            </w:rPr>
          </w:pPr>
        </w:p>
        <w:p w:rsidR="00146588" w:rsidRPr="005F1BBD" w:rsidRDefault="00146588">
          <w:pPr>
            <w:tabs>
              <w:tab w:val="center" w:pos="2713"/>
            </w:tabs>
            <w:spacing w:after="109"/>
            <w:rPr>
              <w:rFonts w:ascii="Arial" w:hAnsi="Arial" w:cs="Arial"/>
              <w:sz w:val="28"/>
              <w:szCs w:val="28"/>
            </w:rPr>
          </w:pPr>
          <w:r>
            <w:rPr>
              <w:rFonts w:ascii="CG Times" w:hAnsi="CG Times"/>
            </w:rPr>
            <w:tab/>
          </w:r>
          <w:r>
            <w:rPr>
              <w:rFonts w:ascii="Arial" w:hAnsi="Arial" w:cs="Arial"/>
              <w:sz w:val="28"/>
              <w:szCs w:val="28"/>
            </w:rPr>
            <w:t>Quality</w:t>
          </w:r>
          <w:r w:rsidRPr="005F1BBD">
            <w:rPr>
              <w:rFonts w:ascii="Arial" w:hAnsi="Arial" w:cs="Arial"/>
              <w:sz w:val="28"/>
              <w:szCs w:val="28"/>
            </w:rPr>
            <w:t xml:space="preserve"> Work Instruction</w:t>
          </w:r>
        </w:p>
      </w:tc>
      <w:tc>
        <w:tcPr>
          <w:tcW w:w="3329" w:type="dxa"/>
          <w:tcBorders>
            <w:top w:val="single" w:sz="6" w:space="0" w:color="000000"/>
            <w:left w:val="single" w:sz="36" w:space="0" w:color="000000"/>
            <w:bottom w:val="single" w:sz="6" w:space="0" w:color="000000"/>
            <w:right w:val="single" w:sz="36" w:space="0" w:color="000000"/>
          </w:tcBorders>
        </w:tcPr>
        <w:p w:rsidR="00146588" w:rsidRPr="00AA2C97" w:rsidRDefault="00146588">
          <w:pPr>
            <w:rPr>
              <w:rFonts w:ascii="Arial" w:hAnsi="Arial" w:cs="Arial"/>
              <w:sz w:val="20"/>
            </w:rPr>
          </w:pPr>
          <w:r w:rsidRPr="00AA2C97">
            <w:rPr>
              <w:rFonts w:ascii="Arial" w:hAnsi="Arial" w:cs="Arial"/>
              <w:sz w:val="20"/>
            </w:rPr>
            <w:t>Page</w:t>
          </w:r>
        </w:p>
        <w:p w:rsidR="00146588" w:rsidRPr="005F1BBD" w:rsidRDefault="00146588" w:rsidP="00AA2C97">
          <w:pPr>
            <w:spacing w:after="109"/>
            <w:jc w:val="center"/>
            <w:rPr>
              <w:rFonts w:ascii="Arial" w:hAnsi="Arial" w:cs="Arial"/>
            </w:rPr>
          </w:pPr>
          <w:r w:rsidRPr="005F1BBD">
            <w:rPr>
              <w:rFonts w:ascii="Arial" w:hAnsi="Arial" w:cs="Arial"/>
              <w:u w:val="single"/>
            </w:rPr>
            <w:fldChar w:fldCharType="begin"/>
          </w:r>
          <w:r w:rsidRPr="005F1BBD">
            <w:rPr>
              <w:rFonts w:ascii="Arial" w:hAnsi="Arial" w:cs="Arial"/>
              <w:u w:val="single"/>
            </w:rPr>
            <w:instrText xml:space="preserve"> PAGE </w:instrText>
          </w:r>
          <w:r w:rsidRPr="005F1BBD">
            <w:rPr>
              <w:rFonts w:ascii="Arial" w:hAnsi="Arial" w:cs="Arial"/>
              <w:u w:val="single"/>
            </w:rPr>
            <w:fldChar w:fldCharType="separate"/>
          </w:r>
          <w:r w:rsidR="00B24679">
            <w:rPr>
              <w:rFonts w:ascii="Arial" w:hAnsi="Arial" w:cs="Arial"/>
              <w:noProof/>
              <w:u w:val="single"/>
            </w:rPr>
            <w:t>1</w:t>
          </w:r>
          <w:r w:rsidRPr="005F1BBD">
            <w:rPr>
              <w:rFonts w:ascii="Arial" w:hAnsi="Arial" w:cs="Arial"/>
              <w:u w:val="single"/>
            </w:rPr>
            <w:fldChar w:fldCharType="end"/>
          </w:r>
          <w:r w:rsidRPr="005F1BBD">
            <w:rPr>
              <w:rFonts w:ascii="Arial" w:hAnsi="Arial" w:cs="Arial"/>
            </w:rPr>
            <w:t xml:space="preserve"> of </w:t>
          </w:r>
          <w:r w:rsidRPr="005F1BBD">
            <w:rPr>
              <w:rFonts w:ascii="Arial" w:hAnsi="Arial" w:cs="Arial"/>
              <w:u w:val="single"/>
            </w:rPr>
            <w:fldChar w:fldCharType="begin"/>
          </w:r>
          <w:r w:rsidRPr="005F1BBD">
            <w:rPr>
              <w:rFonts w:ascii="Arial" w:hAnsi="Arial" w:cs="Arial"/>
              <w:u w:val="single"/>
            </w:rPr>
            <w:instrText xml:space="preserve"> NUMPAGES </w:instrText>
          </w:r>
          <w:r w:rsidRPr="005F1BBD">
            <w:rPr>
              <w:rFonts w:ascii="Arial" w:hAnsi="Arial" w:cs="Arial"/>
              <w:u w:val="single"/>
            </w:rPr>
            <w:fldChar w:fldCharType="separate"/>
          </w:r>
          <w:r w:rsidR="00B24679">
            <w:rPr>
              <w:rFonts w:ascii="Arial" w:hAnsi="Arial" w:cs="Arial"/>
              <w:noProof/>
              <w:u w:val="single"/>
            </w:rPr>
            <w:t>2</w:t>
          </w:r>
          <w:r w:rsidRPr="005F1BBD">
            <w:rPr>
              <w:rFonts w:ascii="Arial" w:hAnsi="Arial" w:cs="Arial"/>
              <w:u w:val="single"/>
            </w:rPr>
            <w:fldChar w:fldCharType="end"/>
          </w:r>
        </w:p>
      </w:tc>
    </w:tr>
    <w:tr w:rsidR="00146588">
      <w:trPr>
        <w:jc w:val="center"/>
      </w:trPr>
      <w:tc>
        <w:tcPr>
          <w:tcW w:w="6030" w:type="dxa"/>
          <w:tcBorders>
            <w:top w:val="single" w:sz="36" w:space="0" w:color="000000"/>
            <w:left w:val="single" w:sz="36" w:space="0" w:color="000000"/>
            <w:bottom w:val="single" w:sz="6" w:space="0" w:color="FFFFFF"/>
            <w:right w:val="single" w:sz="6" w:space="0" w:color="000000"/>
          </w:tcBorders>
        </w:tcPr>
        <w:p w:rsidR="00146588" w:rsidRPr="005F1BBD" w:rsidRDefault="00146588">
          <w:pPr>
            <w:spacing w:line="253" w:lineRule="exact"/>
            <w:rPr>
              <w:rFonts w:ascii="Arial" w:hAnsi="Arial" w:cs="Arial"/>
            </w:rPr>
          </w:pPr>
        </w:p>
        <w:p w:rsidR="00146588" w:rsidRPr="005F1BBD" w:rsidRDefault="00146588">
          <w:pPr>
            <w:spacing w:after="109"/>
            <w:rPr>
              <w:rFonts w:ascii="Arial" w:hAnsi="Arial" w:cs="Arial"/>
            </w:rPr>
          </w:pPr>
          <w:r w:rsidRPr="005F1BBD">
            <w:rPr>
              <w:rFonts w:ascii="Arial" w:hAnsi="Arial" w:cs="Arial"/>
            </w:rPr>
            <w:t xml:space="preserve">Subject: </w:t>
          </w:r>
        </w:p>
      </w:tc>
      <w:tc>
        <w:tcPr>
          <w:tcW w:w="3329" w:type="dxa"/>
          <w:tcBorders>
            <w:top w:val="single" w:sz="6" w:space="0" w:color="000000"/>
            <w:left w:val="single" w:sz="6" w:space="0" w:color="000000"/>
            <w:bottom w:val="single" w:sz="6" w:space="0" w:color="000000"/>
            <w:right w:val="single" w:sz="36" w:space="0" w:color="000000"/>
          </w:tcBorders>
        </w:tcPr>
        <w:p w:rsidR="00146588" w:rsidRPr="00AA2C97" w:rsidRDefault="00146588">
          <w:pPr>
            <w:rPr>
              <w:rFonts w:ascii="Arial" w:hAnsi="Arial" w:cs="Arial"/>
              <w:sz w:val="20"/>
            </w:rPr>
          </w:pPr>
          <w:r w:rsidRPr="00AA2C97">
            <w:rPr>
              <w:rFonts w:ascii="Arial" w:hAnsi="Arial" w:cs="Arial"/>
              <w:sz w:val="20"/>
            </w:rPr>
            <w:t>Date Issued</w:t>
          </w:r>
        </w:p>
        <w:p w:rsidR="00146588" w:rsidRPr="005F1BBD" w:rsidRDefault="00146588" w:rsidP="004E083A">
          <w:pPr>
            <w:spacing w:after="109"/>
            <w:rPr>
              <w:rFonts w:ascii="Arial" w:hAnsi="Arial" w:cs="Arial"/>
            </w:rPr>
          </w:pPr>
          <w:r>
            <w:rPr>
              <w:rFonts w:ascii="Arial" w:hAnsi="Arial" w:cs="Arial"/>
            </w:rPr>
            <w:t xml:space="preserve">                 2/</w:t>
          </w:r>
          <w:r w:rsidR="004E083A">
            <w:rPr>
              <w:rFonts w:ascii="Arial" w:hAnsi="Arial" w:cs="Arial"/>
            </w:rPr>
            <w:t>10</w:t>
          </w:r>
          <w:r>
            <w:rPr>
              <w:rFonts w:ascii="Arial" w:hAnsi="Arial" w:cs="Arial"/>
            </w:rPr>
            <w:t>/16</w:t>
          </w:r>
        </w:p>
      </w:tc>
    </w:tr>
    <w:tr w:rsidR="00146588">
      <w:trPr>
        <w:jc w:val="center"/>
      </w:trPr>
      <w:tc>
        <w:tcPr>
          <w:tcW w:w="6030" w:type="dxa"/>
          <w:tcBorders>
            <w:top w:val="single" w:sz="6" w:space="0" w:color="FFFFFF"/>
            <w:left w:val="single" w:sz="36" w:space="0" w:color="000000"/>
            <w:bottom w:val="single" w:sz="6" w:space="0" w:color="000000"/>
            <w:right w:val="single" w:sz="6" w:space="0" w:color="000000"/>
          </w:tcBorders>
        </w:tcPr>
        <w:p w:rsidR="00146588" w:rsidRPr="003039FF" w:rsidRDefault="00146588" w:rsidP="007041C1">
          <w:pPr>
            <w:tabs>
              <w:tab w:val="center" w:pos="2713"/>
            </w:tabs>
            <w:spacing w:after="109"/>
            <w:jc w:val="center"/>
            <w:rPr>
              <w:rFonts w:ascii="Arial" w:hAnsi="Arial" w:cs="Arial"/>
              <w:b/>
              <w:sz w:val="22"/>
              <w:szCs w:val="22"/>
            </w:rPr>
          </w:pPr>
          <w:r w:rsidRPr="003039FF">
            <w:rPr>
              <w:rFonts w:ascii="Arial" w:hAnsi="Arial" w:cs="Arial"/>
              <w:b/>
              <w:sz w:val="22"/>
              <w:szCs w:val="22"/>
            </w:rPr>
            <w:t>Submitting a Supplier D</w:t>
          </w:r>
          <w:r>
            <w:rPr>
              <w:rFonts w:ascii="Arial" w:hAnsi="Arial" w:cs="Arial"/>
              <w:b/>
              <w:sz w:val="22"/>
              <w:szCs w:val="22"/>
            </w:rPr>
            <w:t>eviation</w:t>
          </w:r>
          <w:r w:rsidRPr="003039FF">
            <w:rPr>
              <w:rFonts w:ascii="Arial" w:hAnsi="Arial" w:cs="Arial"/>
              <w:b/>
              <w:sz w:val="22"/>
              <w:szCs w:val="22"/>
            </w:rPr>
            <w:t xml:space="preserve"> Request</w:t>
          </w:r>
        </w:p>
      </w:tc>
      <w:tc>
        <w:tcPr>
          <w:tcW w:w="3329" w:type="dxa"/>
          <w:tcBorders>
            <w:top w:val="single" w:sz="6" w:space="0" w:color="000000"/>
            <w:left w:val="single" w:sz="6" w:space="0" w:color="000000"/>
            <w:bottom w:val="single" w:sz="6" w:space="0" w:color="000000"/>
            <w:right w:val="single" w:sz="36" w:space="0" w:color="000000"/>
          </w:tcBorders>
        </w:tcPr>
        <w:p w:rsidR="00146588" w:rsidRPr="00AA2C97" w:rsidRDefault="00146588">
          <w:pPr>
            <w:rPr>
              <w:rFonts w:ascii="Arial" w:hAnsi="Arial" w:cs="Arial"/>
              <w:sz w:val="20"/>
            </w:rPr>
          </w:pPr>
          <w:r w:rsidRPr="00AA2C97">
            <w:rPr>
              <w:rFonts w:ascii="Arial" w:hAnsi="Arial" w:cs="Arial"/>
              <w:sz w:val="20"/>
            </w:rPr>
            <w:t>Revision:</w:t>
          </w:r>
        </w:p>
        <w:p w:rsidR="00146588" w:rsidRPr="005F1BBD" w:rsidRDefault="00146588">
          <w:pPr>
            <w:spacing w:after="109"/>
            <w:ind w:left="1440"/>
            <w:rPr>
              <w:rFonts w:ascii="Arial" w:hAnsi="Arial" w:cs="Arial"/>
            </w:rPr>
          </w:pPr>
          <w:r>
            <w:rPr>
              <w:rFonts w:ascii="Arial" w:hAnsi="Arial" w:cs="Arial"/>
            </w:rPr>
            <w:t>B</w:t>
          </w:r>
        </w:p>
      </w:tc>
    </w:tr>
    <w:tr w:rsidR="00146588">
      <w:trPr>
        <w:jc w:val="center"/>
      </w:trPr>
      <w:tc>
        <w:tcPr>
          <w:tcW w:w="6030" w:type="dxa"/>
          <w:tcBorders>
            <w:top w:val="single" w:sz="6" w:space="0" w:color="000000"/>
            <w:left w:val="single" w:sz="36" w:space="0" w:color="000000"/>
            <w:bottom w:val="single" w:sz="36" w:space="0" w:color="000000"/>
            <w:right w:val="single" w:sz="6" w:space="0" w:color="000000"/>
          </w:tcBorders>
        </w:tcPr>
        <w:p w:rsidR="00146588" w:rsidRPr="00AA2C97" w:rsidRDefault="00146588">
          <w:pPr>
            <w:tabs>
              <w:tab w:val="left" w:pos="-1440"/>
            </w:tabs>
            <w:ind w:left="2934" w:hanging="2934"/>
            <w:rPr>
              <w:rFonts w:ascii="Arial" w:hAnsi="Arial" w:cs="Arial"/>
              <w:sz w:val="20"/>
            </w:rPr>
          </w:pPr>
          <w:r w:rsidRPr="00AA2C97">
            <w:rPr>
              <w:rFonts w:ascii="Arial" w:hAnsi="Arial" w:cs="Arial"/>
              <w:sz w:val="20"/>
            </w:rPr>
            <w:t>Written by:</w:t>
          </w:r>
          <w:r w:rsidRPr="00AA2C97">
            <w:rPr>
              <w:rFonts w:ascii="Arial" w:hAnsi="Arial" w:cs="Arial"/>
              <w:sz w:val="20"/>
            </w:rPr>
            <w:tab/>
          </w:r>
          <w:r w:rsidRPr="00AA2C97">
            <w:rPr>
              <w:rFonts w:ascii="Arial" w:hAnsi="Arial" w:cs="Arial"/>
              <w:sz w:val="20"/>
            </w:rPr>
            <w:tab/>
          </w:r>
          <w:r w:rsidRPr="00AA2C97">
            <w:rPr>
              <w:rFonts w:ascii="Arial" w:hAnsi="Arial" w:cs="Arial"/>
              <w:sz w:val="20"/>
            </w:rPr>
            <w:tab/>
            <w:t>Approved by:</w:t>
          </w:r>
        </w:p>
        <w:p w:rsidR="00146588" w:rsidRPr="005F1BBD" w:rsidRDefault="00146588" w:rsidP="00C74CE6">
          <w:pPr>
            <w:spacing w:after="180"/>
            <w:rPr>
              <w:rFonts w:ascii="Arial" w:hAnsi="Arial" w:cs="Arial"/>
            </w:rPr>
          </w:pPr>
          <w:r>
            <w:rPr>
              <w:rFonts w:ascii="Arial" w:hAnsi="Arial" w:cs="Arial"/>
            </w:rPr>
            <w:t>Wes Seemann                                   Mike Gonzales</w:t>
          </w:r>
        </w:p>
      </w:tc>
      <w:tc>
        <w:tcPr>
          <w:tcW w:w="3329" w:type="dxa"/>
          <w:tcBorders>
            <w:top w:val="single" w:sz="6" w:space="0" w:color="000000"/>
            <w:left w:val="single" w:sz="6" w:space="0" w:color="000000"/>
            <w:bottom w:val="single" w:sz="36" w:space="0" w:color="000000"/>
            <w:right w:val="single" w:sz="36" w:space="0" w:color="000000"/>
          </w:tcBorders>
        </w:tcPr>
        <w:p w:rsidR="00146588" w:rsidRPr="00AA2C97" w:rsidRDefault="00146588">
          <w:pPr>
            <w:rPr>
              <w:rFonts w:ascii="Arial" w:hAnsi="Arial" w:cs="Arial"/>
              <w:sz w:val="20"/>
            </w:rPr>
          </w:pPr>
          <w:r w:rsidRPr="00AA2C97">
            <w:rPr>
              <w:rFonts w:ascii="Arial" w:hAnsi="Arial" w:cs="Arial"/>
              <w:sz w:val="20"/>
            </w:rPr>
            <w:t>Review/Approved Date</w:t>
          </w:r>
          <w:r>
            <w:rPr>
              <w:rFonts w:ascii="Arial" w:hAnsi="Arial" w:cs="Arial"/>
              <w:sz w:val="20"/>
            </w:rPr>
            <w:t>:</w:t>
          </w:r>
        </w:p>
        <w:p w:rsidR="00146588" w:rsidRPr="005F1BBD" w:rsidRDefault="00146588" w:rsidP="00AA2C97">
          <w:pPr>
            <w:spacing w:after="180"/>
            <w:jc w:val="center"/>
            <w:rPr>
              <w:rFonts w:ascii="Arial" w:hAnsi="Arial" w:cs="Arial"/>
            </w:rPr>
          </w:pPr>
          <w:r>
            <w:rPr>
              <w:rFonts w:ascii="Arial" w:hAnsi="Arial" w:cs="Arial"/>
            </w:rPr>
            <w:t>2/9/016</w:t>
          </w:r>
        </w:p>
      </w:tc>
    </w:tr>
  </w:tbl>
  <w:p w:rsidR="00146588" w:rsidRDefault="00146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A" w:rsidRDefault="004E08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88" w:rsidRDefault="001465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235" w:type="dxa"/>
        <w:right w:w="235" w:type="dxa"/>
      </w:tblCellMar>
      <w:tblLook w:val="0000" w:firstRow="0" w:lastRow="0" w:firstColumn="0" w:lastColumn="0" w:noHBand="0" w:noVBand="0"/>
    </w:tblPr>
    <w:tblGrid>
      <w:gridCol w:w="2340"/>
      <w:gridCol w:w="2340"/>
      <w:gridCol w:w="2340"/>
      <w:gridCol w:w="2340"/>
    </w:tblGrid>
    <w:tr w:rsidR="00146588">
      <w:trPr>
        <w:jc w:val="center"/>
      </w:trPr>
      <w:tc>
        <w:tcPr>
          <w:tcW w:w="2340" w:type="dxa"/>
          <w:tcBorders>
            <w:top w:val="single" w:sz="6" w:space="0" w:color="000000"/>
            <w:left w:val="single" w:sz="6" w:space="0" w:color="000000"/>
            <w:bottom w:val="single" w:sz="6" w:space="0" w:color="000000"/>
            <w:right w:val="single" w:sz="6" w:space="0" w:color="000000"/>
          </w:tcBorders>
        </w:tcPr>
        <w:p w:rsidR="00146588" w:rsidRPr="00AA2C97" w:rsidRDefault="00146588">
          <w:pPr>
            <w:rPr>
              <w:rFonts w:ascii="Arial" w:hAnsi="Arial" w:cs="Arial"/>
              <w:sz w:val="20"/>
            </w:rPr>
          </w:pPr>
          <w:r w:rsidRPr="00AA2C97">
            <w:rPr>
              <w:rFonts w:ascii="Arial" w:hAnsi="Arial" w:cs="Arial"/>
              <w:sz w:val="20"/>
            </w:rPr>
            <w:t>Revision:</w:t>
          </w:r>
        </w:p>
        <w:p w:rsidR="00146588" w:rsidRPr="005F1BBD" w:rsidRDefault="00146588" w:rsidP="00AA2C97">
          <w:pPr>
            <w:spacing w:after="115"/>
            <w:jc w:val="center"/>
            <w:rPr>
              <w:rFonts w:ascii="Arial" w:hAnsi="Arial" w:cs="Arial"/>
            </w:rPr>
          </w:pPr>
          <w:r>
            <w:rPr>
              <w:rFonts w:ascii="Arial" w:hAnsi="Arial" w:cs="Arial"/>
            </w:rPr>
            <w:t>B</w:t>
          </w:r>
        </w:p>
      </w:tc>
      <w:tc>
        <w:tcPr>
          <w:tcW w:w="2340" w:type="dxa"/>
          <w:tcBorders>
            <w:top w:val="single" w:sz="6" w:space="0" w:color="000000"/>
            <w:left w:val="single" w:sz="6" w:space="0" w:color="000000"/>
            <w:bottom w:val="single" w:sz="6" w:space="0" w:color="000000"/>
            <w:right w:val="single" w:sz="6" w:space="0" w:color="000000"/>
          </w:tcBorders>
        </w:tcPr>
        <w:p w:rsidR="00146588" w:rsidRDefault="00146588">
          <w:pPr>
            <w:rPr>
              <w:rFonts w:ascii="Arial" w:hAnsi="Arial" w:cs="Arial"/>
              <w:sz w:val="20"/>
            </w:rPr>
          </w:pPr>
          <w:r w:rsidRPr="00AA2C97">
            <w:rPr>
              <w:rFonts w:ascii="Arial" w:hAnsi="Arial" w:cs="Arial"/>
              <w:sz w:val="20"/>
            </w:rPr>
            <w:t>Date Issued</w:t>
          </w:r>
        </w:p>
        <w:p w:rsidR="00146588" w:rsidRPr="00AA2C97" w:rsidRDefault="00146588" w:rsidP="00AA2C97">
          <w:pPr>
            <w:jc w:val="center"/>
            <w:rPr>
              <w:rFonts w:ascii="Arial" w:hAnsi="Arial" w:cs="Arial"/>
              <w:szCs w:val="24"/>
            </w:rPr>
          </w:pPr>
          <w:r>
            <w:rPr>
              <w:rFonts w:ascii="Arial" w:hAnsi="Arial" w:cs="Arial"/>
            </w:rPr>
            <w:t>2/</w:t>
          </w:r>
          <w:r w:rsidR="004E083A">
            <w:rPr>
              <w:rFonts w:ascii="Arial" w:hAnsi="Arial" w:cs="Arial"/>
            </w:rPr>
            <w:t>10</w:t>
          </w:r>
          <w:r>
            <w:rPr>
              <w:rFonts w:ascii="Arial" w:hAnsi="Arial" w:cs="Arial"/>
            </w:rPr>
            <w:t>/16</w:t>
          </w:r>
        </w:p>
        <w:p w:rsidR="00146588" w:rsidRPr="005F1BBD" w:rsidRDefault="00146588">
          <w:pPr>
            <w:spacing w:after="115"/>
            <w:ind w:left="720"/>
            <w:rPr>
              <w:rFonts w:ascii="Arial" w:hAnsi="Arial" w:cs="Arial"/>
            </w:rPr>
          </w:pPr>
        </w:p>
      </w:tc>
      <w:tc>
        <w:tcPr>
          <w:tcW w:w="2340" w:type="dxa"/>
          <w:tcBorders>
            <w:top w:val="single" w:sz="6" w:space="0" w:color="000000"/>
            <w:left w:val="single" w:sz="6" w:space="0" w:color="000000"/>
            <w:bottom w:val="single" w:sz="6" w:space="0" w:color="000000"/>
            <w:right w:val="single" w:sz="6" w:space="0" w:color="000000"/>
          </w:tcBorders>
        </w:tcPr>
        <w:p w:rsidR="00146588" w:rsidRPr="00AA2C97" w:rsidRDefault="00146588">
          <w:pPr>
            <w:rPr>
              <w:rFonts w:ascii="Arial" w:hAnsi="Arial" w:cs="Arial"/>
              <w:sz w:val="20"/>
            </w:rPr>
          </w:pPr>
          <w:r w:rsidRPr="00AA2C97">
            <w:rPr>
              <w:rFonts w:ascii="Arial" w:hAnsi="Arial" w:cs="Arial"/>
              <w:sz w:val="20"/>
            </w:rPr>
            <w:t>Page</w:t>
          </w:r>
        </w:p>
        <w:p w:rsidR="00146588" w:rsidRPr="005F1BBD" w:rsidRDefault="00146588">
          <w:pPr>
            <w:spacing w:after="115"/>
            <w:ind w:left="720"/>
            <w:rPr>
              <w:rFonts w:ascii="Arial" w:hAnsi="Arial" w:cs="Arial"/>
            </w:rPr>
          </w:pPr>
          <w:r w:rsidRPr="005F1BBD">
            <w:rPr>
              <w:rFonts w:ascii="Arial" w:hAnsi="Arial" w:cs="Arial"/>
              <w:u w:val="single"/>
            </w:rPr>
            <w:fldChar w:fldCharType="begin"/>
          </w:r>
          <w:r w:rsidRPr="005F1BBD">
            <w:rPr>
              <w:rFonts w:ascii="Arial" w:hAnsi="Arial" w:cs="Arial"/>
              <w:u w:val="single"/>
            </w:rPr>
            <w:instrText xml:space="preserve"> PAGE </w:instrText>
          </w:r>
          <w:r w:rsidRPr="005F1BBD">
            <w:rPr>
              <w:rFonts w:ascii="Arial" w:hAnsi="Arial" w:cs="Arial"/>
              <w:u w:val="single"/>
            </w:rPr>
            <w:fldChar w:fldCharType="separate"/>
          </w:r>
          <w:r w:rsidR="00B24679">
            <w:rPr>
              <w:rFonts w:ascii="Arial" w:hAnsi="Arial" w:cs="Arial"/>
              <w:noProof/>
              <w:u w:val="single"/>
            </w:rPr>
            <w:t>2</w:t>
          </w:r>
          <w:r w:rsidRPr="005F1BBD">
            <w:rPr>
              <w:rFonts w:ascii="Arial" w:hAnsi="Arial" w:cs="Arial"/>
              <w:u w:val="single"/>
            </w:rPr>
            <w:fldChar w:fldCharType="end"/>
          </w:r>
          <w:r w:rsidRPr="005F1BBD">
            <w:rPr>
              <w:rFonts w:ascii="Arial" w:hAnsi="Arial" w:cs="Arial"/>
            </w:rPr>
            <w:t xml:space="preserve"> of </w:t>
          </w:r>
          <w:r w:rsidRPr="005F1BBD">
            <w:rPr>
              <w:rFonts w:ascii="Arial" w:hAnsi="Arial" w:cs="Arial"/>
              <w:u w:val="single"/>
            </w:rPr>
            <w:fldChar w:fldCharType="begin"/>
          </w:r>
          <w:r w:rsidRPr="005F1BBD">
            <w:rPr>
              <w:rFonts w:ascii="Arial" w:hAnsi="Arial" w:cs="Arial"/>
              <w:u w:val="single"/>
            </w:rPr>
            <w:instrText xml:space="preserve"> NUMPAGES </w:instrText>
          </w:r>
          <w:r w:rsidRPr="005F1BBD">
            <w:rPr>
              <w:rFonts w:ascii="Arial" w:hAnsi="Arial" w:cs="Arial"/>
              <w:u w:val="single"/>
            </w:rPr>
            <w:fldChar w:fldCharType="separate"/>
          </w:r>
          <w:r w:rsidR="00B24679">
            <w:rPr>
              <w:rFonts w:ascii="Arial" w:hAnsi="Arial" w:cs="Arial"/>
              <w:noProof/>
              <w:u w:val="single"/>
            </w:rPr>
            <w:t>2</w:t>
          </w:r>
          <w:r w:rsidRPr="005F1BBD">
            <w:rPr>
              <w:rFonts w:ascii="Arial" w:hAnsi="Arial" w:cs="Arial"/>
              <w:u w:val="single"/>
            </w:rPr>
            <w:fldChar w:fldCharType="end"/>
          </w:r>
        </w:p>
      </w:tc>
      <w:tc>
        <w:tcPr>
          <w:tcW w:w="2340" w:type="dxa"/>
          <w:tcBorders>
            <w:top w:val="single" w:sz="6" w:space="0" w:color="000000"/>
            <w:left w:val="single" w:sz="6" w:space="0" w:color="000000"/>
            <w:bottom w:val="single" w:sz="6" w:space="0" w:color="000000"/>
            <w:right w:val="single" w:sz="6" w:space="0" w:color="000000"/>
          </w:tcBorders>
        </w:tcPr>
        <w:p w:rsidR="00146588" w:rsidRDefault="00146588">
          <w:pPr>
            <w:rPr>
              <w:rFonts w:ascii="Arial" w:hAnsi="Arial" w:cs="Arial"/>
              <w:sz w:val="20"/>
            </w:rPr>
          </w:pPr>
          <w:r w:rsidRPr="00AA2C97">
            <w:rPr>
              <w:rFonts w:ascii="Arial" w:hAnsi="Arial" w:cs="Arial"/>
              <w:sz w:val="20"/>
            </w:rPr>
            <w:t>WI No.</w:t>
          </w:r>
        </w:p>
        <w:p w:rsidR="00146588" w:rsidRPr="00AA2C97" w:rsidRDefault="00146588" w:rsidP="00AA2C97">
          <w:pPr>
            <w:jc w:val="center"/>
            <w:rPr>
              <w:rFonts w:ascii="Arial" w:hAnsi="Arial" w:cs="Arial"/>
              <w:szCs w:val="24"/>
            </w:rPr>
          </w:pPr>
          <w:r>
            <w:rPr>
              <w:rFonts w:ascii="Arial" w:hAnsi="Arial" w:cs="Arial"/>
              <w:szCs w:val="24"/>
            </w:rPr>
            <w:t>QWI 109</w:t>
          </w:r>
        </w:p>
        <w:p w:rsidR="00146588" w:rsidRPr="005F1BBD" w:rsidRDefault="00146588">
          <w:pPr>
            <w:spacing w:after="115"/>
            <w:ind w:left="720"/>
            <w:rPr>
              <w:rFonts w:ascii="Arial" w:hAnsi="Arial" w:cs="Arial"/>
            </w:rPr>
          </w:pPr>
        </w:p>
      </w:tc>
    </w:tr>
  </w:tbl>
  <w:p w:rsidR="00146588" w:rsidRDefault="001465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88" w:rsidRDefault="00146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E869F4"/>
    <w:lvl w:ilvl="0">
      <w:numFmt w:val="decimal"/>
      <w:lvlText w:val="*"/>
      <w:lvlJc w:val="left"/>
    </w:lvl>
  </w:abstractNum>
  <w:abstractNum w:abstractNumId="1" w15:restartNumberingAfterBreak="0">
    <w:nsid w:val="69787FBA"/>
    <w:multiLevelType w:val="multilevel"/>
    <w:tmpl w:val="DCBA6F68"/>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15:restartNumberingAfterBreak="0">
    <w:nsid w:val="7D1A20E7"/>
    <w:multiLevelType w:val="hybridMultilevel"/>
    <w:tmpl w:val="009235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o0rPe44epthMQkive+my15S3+7wnPaDvbAytZ6PhfrksOaKNGtB1KZlePgReNBNFQybnuKr6PowblGVl/45hw==" w:salt="HJ3Ugswa2WIA+MJxbzOEUA=="/>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BD"/>
    <w:rsid w:val="000450F0"/>
    <w:rsid w:val="00066686"/>
    <w:rsid w:val="00071279"/>
    <w:rsid w:val="00092A77"/>
    <w:rsid w:val="000D1839"/>
    <w:rsid w:val="000F1FB0"/>
    <w:rsid w:val="00143D1E"/>
    <w:rsid w:val="00146588"/>
    <w:rsid w:val="001546C7"/>
    <w:rsid w:val="00184FA0"/>
    <w:rsid w:val="001A4841"/>
    <w:rsid w:val="001D5928"/>
    <w:rsid w:val="0022437C"/>
    <w:rsid w:val="00241B05"/>
    <w:rsid w:val="0024489A"/>
    <w:rsid w:val="00262C95"/>
    <w:rsid w:val="003039FF"/>
    <w:rsid w:val="003239B0"/>
    <w:rsid w:val="00361ECD"/>
    <w:rsid w:val="003E4BE6"/>
    <w:rsid w:val="0043626C"/>
    <w:rsid w:val="004550C6"/>
    <w:rsid w:val="00471944"/>
    <w:rsid w:val="00473429"/>
    <w:rsid w:val="00473BFB"/>
    <w:rsid w:val="004E083A"/>
    <w:rsid w:val="004E7863"/>
    <w:rsid w:val="005458A2"/>
    <w:rsid w:val="00555705"/>
    <w:rsid w:val="00556995"/>
    <w:rsid w:val="005744B6"/>
    <w:rsid w:val="005A5442"/>
    <w:rsid w:val="005F1BBD"/>
    <w:rsid w:val="005F1E00"/>
    <w:rsid w:val="00604C65"/>
    <w:rsid w:val="00627125"/>
    <w:rsid w:val="00643A60"/>
    <w:rsid w:val="00655D00"/>
    <w:rsid w:val="0067094C"/>
    <w:rsid w:val="006729F0"/>
    <w:rsid w:val="0067774A"/>
    <w:rsid w:val="00697099"/>
    <w:rsid w:val="006A372C"/>
    <w:rsid w:val="006B379F"/>
    <w:rsid w:val="006F7884"/>
    <w:rsid w:val="007041C1"/>
    <w:rsid w:val="00783086"/>
    <w:rsid w:val="007B7CD6"/>
    <w:rsid w:val="00800D83"/>
    <w:rsid w:val="00822889"/>
    <w:rsid w:val="00851861"/>
    <w:rsid w:val="00861BC5"/>
    <w:rsid w:val="00862ECD"/>
    <w:rsid w:val="008D4154"/>
    <w:rsid w:val="008F3BC5"/>
    <w:rsid w:val="00A14FD2"/>
    <w:rsid w:val="00A37AE3"/>
    <w:rsid w:val="00A57575"/>
    <w:rsid w:val="00AA2C97"/>
    <w:rsid w:val="00AA3FB6"/>
    <w:rsid w:val="00AC1F63"/>
    <w:rsid w:val="00B24679"/>
    <w:rsid w:val="00B308A2"/>
    <w:rsid w:val="00B56591"/>
    <w:rsid w:val="00B5684F"/>
    <w:rsid w:val="00BB0D9C"/>
    <w:rsid w:val="00BD5311"/>
    <w:rsid w:val="00BF5145"/>
    <w:rsid w:val="00C40E65"/>
    <w:rsid w:val="00C74CE6"/>
    <w:rsid w:val="00C763C2"/>
    <w:rsid w:val="00CB6B41"/>
    <w:rsid w:val="00CC1A12"/>
    <w:rsid w:val="00D101C6"/>
    <w:rsid w:val="00D1044B"/>
    <w:rsid w:val="00D91C10"/>
    <w:rsid w:val="00DC3632"/>
    <w:rsid w:val="00E209DF"/>
    <w:rsid w:val="00E2508D"/>
    <w:rsid w:val="00E5715A"/>
    <w:rsid w:val="00E6077C"/>
    <w:rsid w:val="00E94769"/>
    <w:rsid w:val="00EC3EAA"/>
    <w:rsid w:val="00EC79A7"/>
    <w:rsid w:val="00ED6FA9"/>
    <w:rsid w:val="00F26DBC"/>
    <w:rsid w:val="00F52E40"/>
    <w:rsid w:val="00F804D2"/>
    <w:rsid w:val="00F85E25"/>
    <w:rsid w:val="00FA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B2F95627-8C20-4FFC-8D52-16EB5286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Focal Point On-Line" w:hAnsi="Focal Point On-Line"/>
      <w:sz w:val="24"/>
    </w:rPr>
  </w:style>
  <w:style w:type="paragraph" w:styleId="Heading1">
    <w:name w:val="heading 1"/>
    <w:basedOn w:val="Normal"/>
    <w:next w:val="Normal"/>
    <w:qFormat/>
    <w:pPr>
      <w:keepNext/>
      <w:suppressAutoHyphens/>
      <w:spacing w:before="128" w:after="234"/>
      <w:ind w:left="5201" w:hanging="5201"/>
      <w:jc w:val="center"/>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styleId="Footer">
    <w:name w:val="footer"/>
    <w:basedOn w:val="Normal"/>
    <w:pPr>
      <w:tabs>
        <w:tab w:val="center" w:pos="4320"/>
        <w:tab w:val="right" w:pos="8640"/>
      </w:tabs>
    </w:pPr>
  </w:style>
  <w:style w:type="paragraph" w:customStyle="1" w:styleId="a">
    <w:name w:val="a"/>
    <w:aliases w:val="b,c"/>
    <w:basedOn w:val="Normal"/>
    <w:pPr>
      <w:ind w:left="486" w:hanging="180"/>
    </w:pPr>
    <w:rPr>
      <w:rFonts w:ascii="CG Times" w:hAnsi="CG Time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5896">
      <w:bodyDiv w:val="1"/>
      <w:marLeft w:val="0"/>
      <w:marRight w:val="0"/>
      <w:marTop w:val="0"/>
      <w:marBottom w:val="0"/>
      <w:divBdr>
        <w:top w:val="none" w:sz="0" w:space="0" w:color="auto"/>
        <w:left w:val="none" w:sz="0" w:space="0" w:color="auto"/>
        <w:bottom w:val="none" w:sz="0" w:space="0" w:color="auto"/>
        <w:right w:val="none" w:sz="0" w:space="0" w:color="auto"/>
      </w:divBdr>
    </w:div>
    <w:div w:id="20414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424</Words>
  <Characters>2540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INNOVATIVE PRODUCT ACHIEVEMENTS</vt:lpstr>
    </vt:vector>
  </TitlesOfParts>
  <Company>Dell Computer Corporation</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PRODUCT ACHIEVEMENTS</dc:title>
  <dc:subject/>
  <dc:creator>Valued Gateway 2000 Customer</dc:creator>
  <cp:keywords/>
  <dc:description/>
  <cp:lastModifiedBy>Voorheis, Diana</cp:lastModifiedBy>
  <cp:revision>7</cp:revision>
  <cp:lastPrinted>2012-10-18T15:36:00Z</cp:lastPrinted>
  <dcterms:created xsi:type="dcterms:W3CDTF">2016-02-09T16:50:00Z</dcterms:created>
  <dcterms:modified xsi:type="dcterms:W3CDTF">2016-02-10T17:29:00Z</dcterms:modified>
</cp:coreProperties>
</file>